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仿宋_GB2312" w:eastAsia="仿宋_GB2312"/>
          <w:sz w:val="32"/>
        </w:rPr>
      </w:pPr>
      <w:r>
        <w:rPr>
          <w:rFonts w:hint="eastAsia" w:ascii="仿宋_GB2312" w:eastAsia="仿宋_GB2312"/>
          <w:sz w:val="32"/>
        </w:rPr>
        <w:t>附件2</w:t>
      </w:r>
    </w:p>
    <w:p>
      <w:pPr>
        <w:spacing w:after="315" w:afterLines="100" w:line="560" w:lineRule="exact"/>
        <w:jc w:val="center"/>
        <w:rPr>
          <w:rFonts w:ascii="宋体" w:hAnsi="宋体" w:cs="黑体"/>
          <w:b/>
          <w:bCs/>
          <w:sz w:val="36"/>
          <w:szCs w:val="36"/>
        </w:rPr>
      </w:pPr>
      <w:r>
        <w:rPr>
          <w:rFonts w:hint="eastAsia" w:ascii="宋体" w:hAnsi="宋体" w:cs="黑体"/>
          <w:b/>
          <w:bCs/>
          <w:sz w:val="36"/>
          <w:szCs w:val="36"/>
        </w:rPr>
        <w:t>主讲嘉宾介绍</w:t>
      </w: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r>
        <w:rPr>
          <w:rFonts w:hint="eastAsia" w:ascii="仿宋" w:hAnsi="仿宋" w:eastAsia="仿宋"/>
          <w:b/>
          <w:bCs/>
          <w:kern w:val="2"/>
          <w:sz w:val="32"/>
          <w:szCs w:val="32"/>
        </w:rPr>
        <w:t>顾希垚</w:t>
      </w:r>
    </w:p>
    <w:p>
      <w:pPr>
        <w:pStyle w:val="2"/>
        <w:widowControl/>
        <w:spacing w:before="0" w:beforeAutospacing="0" w:after="30" w:afterAutospacing="0"/>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上海交通大学学生处副处长、学生就业服务和职业发展中心主任。</w:t>
      </w:r>
    </w:p>
    <w:p>
      <w:pPr>
        <w:pStyle w:val="2"/>
        <w:widowControl/>
        <w:spacing w:before="0" w:beforeAutospacing="0" w:after="30" w:afterAutospacing="0"/>
        <w:ind w:firstLine="640" w:firstLineChars="200"/>
        <w:jc w:val="both"/>
        <w:rPr>
          <w:rFonts w:hint="eastAsia" w:ascii="仿宋_GB2312" w:eastAsia="仿宋_GB2312"/>
          <w:kern w:val="2"/>
          <w:sz w:val="28"/>
          <w:szCs w:val="28"/>
        </w:rPr>
      </w:pPr>
      <w:r>
        <w:rPr>
          <w:rFonts w:hint="eastAsia" w:ascii="仿宋_GB2312" w:hAnsi="Times New Roman" w:eastAsia="仿宋_GB2312" w:cs="Times New Roman"/>
          <w:kern w:val="2"/>
          <w:sz w:val="32"/>
          <w:szCs w:val="32"/>
          <w:lang w:val="en-US" w:eastAsia="zh-CN" w:bidi="ar-SA"/>
        </w:rPr>
        <w:t>先后主持、参与教育部学生司委托课题《促进制造专业大类大学生就业创业的思路及政策建议》《上海交通大学大学生生涯发展工作室建设》等省部级课题6项，发表论文10余篇。参与教学改革项目获国家级教学成果二等奖和上海市级教学成果特等奖。曾获2011全国辅导员年度人物提名、2011上海高校辅导员年度人物、2014年上海市育才奖。</w:t>
      </w: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r>
        <w:rPr>
          <w:rFonts w:hint="eastAsia" w:ascii="仿宋" w:hAnsi="仿宋" w:eastAsia="仿宋"/>
          <w:b/>
          <w:bCs/>
          <w:kern w:val="2"/>
          <w:sz w:val="32"/>
          <w:szCs w:val="32"/>
        </w:rPr>
        <w:t>薛艺</w:t>
      </w:r>
    </w:p>
    <w:p>
      <w:pPr>
        <w:ind w:firstLine="640" w:firstLineChars="200"/>
        <w:jc w:val="left"/>
        <w:rPr>
          <w:rFonts w:hint="eastAsia" w:ascii="仿宋_GB2312" w:eastAsia="仿宋_GB2312"/>
          <w:sz w:val="32"/>
          <w:szCs w:val="32"/>
        </w:rPr>
      </w:pPr>
      <w:r>
        <w:rPr>
          <w:rFonts w:hint="eastAsia" w:ascii="仿宋_GB2312" w:eastAsia="仿宋_GB2312"/>
          <w:sz w:val="32"/>
          <w:szCs w:val="32"/>
        </w:rPr>
        <w:t>睿新中科研究院研究员、国家二级心理咨询师，职业生涯规划师，创业导师，心理咨询师；中国心理学会成员；著有个案集《创业是一场心理革命》、教材《创行：大学生创新创业实务》。</w:t>
      </w:r>
    </w:p>
    <w:p>
      <w:pPr>
        <w:ind w:firstLine="640" w:firstLineChars="200"/>
        <w:jc w:val="left"/>
        <w:rPr>
          <w:rFonts w:hint="eastAsia" w:ascii="仿宋_GB2312" w:eastAsia="仿宋_GB2312"/>
          <w:sz w:val="32"/>
          <w:szCs w:val="32"/>
        </w:rPr>
      </w:pPr>
      <w:r>
        <w:rPr>
          <w:rFonts w:hint="eastAsia" w:ascii="仿宋_GB2312" w:eastAsia="仿宋_GB2312"/>
          <w:sz w:val="32"/>
          <w:szCs w:val="32"/>
        </w:rPr>
        <w:t>以个体咨询与团体辅导相结合的方式，为北京师范大学、安徽师范大学、北京交通大学等多所学校的在校生，提供生涯心理辅导，累积咨询个案2000多例；以面对面咨询和网络咨询相结合的方式，累积职业咨询个案1000多例，共计咨询时间3000小时以上。</w:t>
      </w:r>
    </w:p>
    <w:p>
      <w:pPr>
        <w:widowControl w:val="0"/>
        <w:numPr>
          <w:ilvl w:val="0"/>
          <w:numId w:val="0"/>
        </w:numPr>
        <w:ind w:firstLine="643" w:firstLineChars="200"/>
        <w:jc w:val="left"/>
        <w:rPr>
          <w:rFonts w:hint="eastAsia" w:ascii="仿宋" w:hAnsi="仿宋" w:eastAsia="仿宋" w:cs="仿宋"/>
          <w:b/>
          <w:bCs/>
          <w:sz w:val="32"/>
          <w:szCs w:val="32"/>
          <w:lang w:val="en-US" w:eastAsia="zh-CN"/>
        </w:rPr>
      </w:pPr>
    </w:p>
    <w:p>
      <w:pPr>
        <w:pStyle w:val="2"/>
        <w:widowControl/>
        <w:spacing w:before="0" w:beforeAutospacing="0" w:after="30" w:afterAutospacing="0"/>
        <w:ind w:firstLine="643" w:firstLineChars="200"/>
        <w:jc w:val="both"/>
        <w:rPr>
          <w:rFonts w:hint="eastAsia" w:ascii="仿宋" w:hAnsi="仿宋" w:eastAsia="仿宋"/>
          <w:b/>
          <w:bCs/>
          <w:kern w:val="2"/>
          <w:sz w:val="32"/>
          <w:szCs w:val="32"/>
          <w:lang w:val="en-US" w:eastAsia="zh-CN"/>
        </w:rPr>
      </w:pPr>
      <w:r>
        <w:rPr>
          <w:rFonts w:hint="eastAsia" w:ascii="仿宋" w:hAnsi="仿宋" w:eastAsia="仿宋"/>
          <w:b/>
          <w:bCs/>
          <w:kern w:val="2"/>
          <w:sz w:val="32"/>
          <w:szCs w:val="32"/>
          <w:lang w:val="en-US" w:eastAsia="zh-CN"/>
        </w:rPr>
        <w:t>郑超</w:t>
      </w:r>
    </w:p>
    <w:p>
      <w:pPr>
        <w:pStyle w:val="2"/>
        <w:widowControl/>
        <w:spacing w:before="0" w:beforeAutospacing="0" w:after="30" w:afterAutospacing="0"/>
        <w:ind w:firstLine="640" w:firstLineChars="200"/>
        <w:jc w:val="both"/>
        <w:rPr>
          <w:rFonts w:hint="eastAsia" w:ascii="仿宋" w:hAnsi="仿宋" w:eastAsia="仿宋"/>
          <w:b/>
          <w:bCs/>
          <w:kern w:val="2"/>
          <w:sz w:val="32"/>
          <w:szCs w:val="32"/>
        </w:rPr>
      </w:pPr>
      <w:r>
        <w:rPr>
          <w:rFonts w:hint="eastAsia" w:ascii="仿宋" w:hAnsi="仿宋" w:eastAsia="仿宋" w:cs="仿宋"/>
          <w:sz w:val="32"/>
          <w:szCs w:val="32"/>
          <w:lang w:val="en-US" w:eastAsia="zh-CN"/>
        </w:rPr>
        <w:t>生涯规划师、创业指导师、CCTV 特邀嘉宾、中国科协专题人物，全球职业生涯规划师、KAB创业教育讲师、全国女性创业就业导师、北京市教委中级高校就业指导师、教育部认证高校教师、中级生涯规划师。教育部首批十佳精品慕课《创业 3+3》教材、《大学就该这么过——完美大学生涯规划》。进入2019年中国培训周&amp;第七届“我是好讲师”比赛（被誉为“中国培训界奥斯卡奖”）全国总决赛，并获得四个奖项：全国优秀讲师、全国 20 强课程、沙盘优秀讲师、沙盘优秀课程。</w:t>
      </w: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p>
    <w:p>
      <w:pPr>
        <w:pStyle w:val="2"/>
        <w:widowControl/>
        <w:spacing w:before="0" w:beforeAutospacing="0" w:after="30" w:afterAutospacing="0"/>
        <w:ind w:firstLine="643" w:firstLineChars="200"/>
        <w:jc w:val="both"/>
        <w:rPr>
          <w:rFonts w:hint="eastAsia" w:ascii="仿宋" w:hAnsi="仿宋" w:eastAsia="仿宋"/>
          <w:b/>
          <w:bCs/>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4D"/>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auto"/>
    <w:pitch w:val="default"/>
    <w:sig w:usb0="00000000" w:usb1="000000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C994"/>
    <w:rsid w:val="7FFFC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2021-03-25T19:50:00Z</dcterms:created>
  <dc:creator>wangziyi</dc:creator>
  <cp:lastModifiedBy>wangziyi</cp:lastModifiedBy>
  <dcterms:modified xsi:type="dcterms:W3CDTF">2021-03-25T19:50:50Z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